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C6" w:rsidRPr="000244D6" w:rsidRDefault="003E2CC6" w:rsidP="003E2CC6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color w:val="1F4D78" w:themeColor="accent1" w:themeShade="7F"/>
          <w:sz w:val="24"/>
          <w:szCs w:val="24"/>
        </w:rPr>
      </w:pPr>
    </w:p>
    <w:p w:rsidR="003E2CC6" w:rsidRPr="000244D6" w:rsidRDefault="003E2CC6" w:rsidP="00252ED8">
      <w:pPr>
        <w:spacing w:after="0" w:line="276" w:lineRule="auto"/>
        <w:ind w:firstLine="6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103C8DCA" wp14:editId="7E184736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52ED8" w:rsidRPr="000244D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0470D1BD" wp14:editId="772B0185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2CC6" w:rsidRPr="000244D6" w:rsidRDefault="003E2CC6" w:rsidP="000244D6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color w:val="1F4D78" w:themeColor="accent1" w:themeShade="7F"/>
          <w:sz w:val="24"/>
          <w:szCs w:val="24"/>
        </w:rPr>
      </w:pPr>
    </w:p>
    <w:p w:rsidR="002B267F" w:rsidRDefault="002B267F" w:rsidP="00252ED8">
      <w:pPr>
        <w:spacing w:after="0" w:line="276" w:lineRule="auto"/>
        <w:ind w:left="-90"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2CC6" w:rsidRPr="002B267F" w:rsidRDefault="003E2CC6" w:rsidP="002B267F">
      <w:pPr>
        <w:spacing w:after="0" w:line="276" w:lineRule="auto"/>
        <w:ind w:left="-90" w:hanging="360"/>
        <w:jc w:val="right"/>
        <w:rPr>
          <w:rFonts w:ascii="Times New Roman" w:hAnsi="Times New Roman" w:cs="Times New Roman"/>
          <w:iCs/>
          <w:color w:val="1F4D78" w:themeColor="accent1" w:themeShade="7F"/>
          <w:sz w:val="24"/>
          <w:szCs w:val="24"/>
        </w:rPr>
      </w:pPr>
      <w:r w:rsidRPr="002B267F">
        <w:rPr>
          <w:rFonts w:ascii="Times New Roman" w:hAnsi="Times New Roman" w:cs="Times New Roman"/>
          <w:iCs/>
          <w:sz w:val="24"/>
          <w:szCs w:val="24"/>
        </w:rPr>
        <w:t>Приложение №</w:t>
      </w:r>
      <w:r w:rsidR="00672CB5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B267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B267F">
        <w:rPr>
          <w:rFonts w:ascii="Times New Roman" w:hAnsi="Times New Roman" w:cs="Times New Roman"/>
          <w:iCs/>
          <w:sz w:val="24"/>
          <w:szCs w:val="24"/>
        </w:rPr>
        <w:t xml:space="preserve">към Условия за кандидатстване </w:t>
      </w:r>
    </w:p>
    <w:p w:rsidR="00574FDB" w:rsidRPr="000244D6" w:rsidRDefault="00574FDB" w:rsidP="00252ED8">
      <w:pPr>
        <w:rPr>
          <w:rFonts w:ascii="Times New Roman" w:hAnsi="Times New Roman" w:cs="Times New Roman"/>
          <w:sz w:val="24"/>
          <w:szCs w:val="24"/>
        </w:rPr>
      </w:pPr>
    </w:p>
    <w:p w:rsidR="003E2CC6" w:rsidRPr="000244D6" w:rsidRDefault="003E2CC6" w:rsidP="00252ED8">
      <w:pPr>
        <w:ind w:left="-9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sz w:val="24"/>
          <w:szCs w:val="24"/>
        </w:rPr>
        <w:t>Финансов план на средствата за управление, мониторинг и оценка на стратегия за ВОМР и нейното популяризиране</w:t>
      </w:r>
    </w:p>
    <w:p w:rsidR="003E2CC6" w:rsidRPr="000244D6" w:rsidRDefault="003E2CC6" w:rsidP="00252ED8">
      <w:pPr>
        <w:ind w:left="-90" w:hanging="360"/>
        <w:rPr>
          <w:rFonts w:ascii="Times New Roman" w:hAnsi="Times New Roman" w:cs="Times New Roman"/>
          <w:sz w:val="24"/>
          <w:szCs w:val="24"/>
        </w:rPr>
      </w:pPr>
    </w:p>
    <w:tbl>
      <w:tblPr>
        <w:tblW w:w="10710" w:type="dxa"/>
        <w:tblInd w:w="-360" w:type="dxa"/>
        <w:tblLook w:val="04A0" w:firstRow="1" w:lastRow="0" w:firstColumn="1" w:lastColumn="0" w:noHBand="0" w:noVBand="1"/>
      </w:tblPr>
      <w:tblGrid>
        <w:gridCol w:w="6660"/>
        <w:gridCol w:w="1946"/>
        <w:gridCol w:w="2104"/>
      </w:tblGrid>
      <w:tr w:rsidR="003E2CC6" w:rsidRPr="003E2CC6" w:rsidTr="00252ED8">
        <w:trPr>
          <w:trHeight w:val="1065"/>
        </w:trPr>
        <w:tc>
          <w:tcPr>
            <w:tcW w:w="10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Таблица 1</w:t>
            </w:r>
            <w:r w:rsidRPr="003E2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br/>
              <w:t>Разпределение на средствата за дейности по управление, мониторинг и оценка на стратегия за ВОМР и нейното популяризиране</w:t>
            </w:r>
          </w:p>
        </w:tc>
      </w:tr>
      <w:tr w:rsidR="003E2CC6" w:rsidRPr="003E2CC6" w:rsidTr="00252ED8">
        <w:trPr>
          <w:trHeight w:val="181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Разходи за управление, мониторинг и оценка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 размер на предвидените средства за целия период на прилагане,</w:t>
            </w: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br/>
              <w:t xml:space="preserve">лв.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 размер на предвидените средства за целия период на прилагане, %</w:t>
            </w:r>
          </w:p>
        </w:tc>
      </w:tr>
      <w:tr w:rsidR="003E2CC6" w:rsidRPr="003E2CC6" w:rsidTr="00252ED8">
        <w:trPr>
          <w:trHeight w:val="719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I - Разходи за управление, мониторинг и оценка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E2CC6" w:rsidRPr="003E2CC6" w:rsidTr="00252ED8">
        <w:trPr>
          <w:trHeight w:val="64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II - Разходи за популяризиране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E2CC6" w:rsidRPr="003E2CC6" w:rsidTr="00252ED8">
        <w:trPr>
          <w:trHeight w:val="30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ОБЩО I + II: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100%</w:t>
            </w:r>
          </w:p>
        </w:tc>
      </w:tr>
    </w:tbl>
    <w:p w:rsidR="003E2CC6" w:rsidRPr="000244D6" w:rsidRDefault="003E2CC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1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2628"/>
        <w:gridCol w:w="789"/>
        <w:gridCol w:w="913"/>
        <w:gridCol w:w="710"/>
        <w:gridCol w:w="879"/>
        <w:gridCol w:w="676"/>
        <w:gridCol w:w="913"/>
        <w:gridCol w:w="676"/>
        <w:gridCol w:w="913"/>
        <w:gridCol w:w="713"/>
        <w:gridCol w:w="900"/>
      </w:tblGrid>
      <w:tr w:rsidR="00252ED8" w:rsidRPr="000244D6" w:rsidTr="00252ED8">
        <w:trPr>
          <w:trHeight w:val="1050"/>
        </w:trPr>
        <w:tc>
          <w:tcPr>
            <w:tcW w:w="107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ED8" w:rsidRPr="009778D9" w:rsidRDefault="00252ED8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Таблица 2</w:t>
            </w:r>
            <w:r w:rsidRPr="009778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br/>
              <w:t>Разпреде</w:t>
            </w:r>
            <w:r w:rsidRPr="00024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ление на средствата за дейности </w:t>
            </w:r>
            <w:r w:rsidRPr="009778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по управление, мониторинг и оценка на стратегия за ВОМР и нейното популяризиране по години</w:t>
            </w:r>
          </w:p>
        </w:tc>
      </w:tr>
      <w:tr w:rsidR="00252ED8" w:rsidRPr="000244D6" w:rsidTr="00252ED8">
        <w:trPr>
          <w:trHeight w:val="7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Година на прилагане на стратегията за ВОМР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2029</w:t>
            </w:r>
          </w:p>
        </w:tc>
      </w:tr>
      <w:tr w:rsidR="00252ED8" w:rsidRPr="000244D6" w:rsidTr="00252ED8">
        <w:trPr>
          <w:trHeight w:val="111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 размер на средствата за управление, мониторинг и оценка на стратегия за ВОМР и нейното популяризиране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="00252ED8"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</w:tr>
      <w:tr w:rsidR="00252ED8" w:rsidRPr="000244D6" w:rsidTr="00252ED8">
        <w:trPr>
          <w:trHeight w:val="675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</w:tbl>
    <w:p w:rsidR="009778D9" w:rsidRPr="000244D6" w:rsidRDefault="009778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78D9" w:rsidRPr="000244D6" w:rsidRDefault="009778D9" w:rsidP="000244D6">
      <w:pPr>
        <w:ind w:left="-270" w:right="-337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sz w:val="24"/>
          <w:szCs w:val="24"/>
        </w:rPr>
        <w:t>Забележка: Сумата от средствата, предвидени за отделните години трябва да е равна на общата сума от таблица 1.</w:t>
      </w:r>
    </w:p>
    <w:sectPr w:rsidR="009778D9" w:rsidRPr="000244D6" w:rsidSect="000B70F1">
      <w:pgSz w:w="12240" w:h="15840"/>
      <w:pgMar w:top="180" w:right="1080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3A"/>
    <w:rsid w:val="000244D6"/>
    <w:rsid w:val="000B70F1"/>
    <w:rsid w:val="00252ED8"/>
    <w:rsid w:val="002B267F"/>
    <w:rsid w:val="003E2CC6"/>
    <w:rsid w:val="00574FDB"/>
    <w:rsid w:val="00672CB5"/>
    <w:rsid w:val="009778D9"/>
    <w:rsid w:val="00B3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C6"/>
    <w:rPr>
      <w:rFonts w:eastAsiaTheme="minorEastAsia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F1"/>
    <w:rPr>
      <w:rFonts w:ascii="Tahoma" w:eastAsiaTheme="minorEastAsia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C6"/>
    <w:rPr>
      <w:rFonts w:eastAsiaTheme="minorEastAsia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F1"/>
    <w:rPr>
      <w:rFonts w:ascii="Tahoma" w:eastAsiaTheme="minorEastAsia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Dimitrina Pavlova</dc:creator>
  <cp:keywords/>
  <dc:description/>
  <cp:lastModifiedBy>Stefan Spasov</cp:lastModifiedBy>
  <cp:revision>18</cp:revision>
  <dcterms:created xsi:type="dcterms:W3CDTF">2024-12-17T11:27:00Z</dcterms:created>
  <dcterms:modified xsi:type="dcterms:W3CDTF">2025-02-07T09:34:00Z</dcterms:modified>
</cp:coreProperties>
</file>